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92" w:type="dxa"/>
        <w:tblCellMar>
          <w:left w:w="70" w:type="dxa"/>
          <w:right w:w="70" w:type="dxa"/>
        </w:tblCellMar>
        <w:tblLook w:val="04A0" w:firstRow="1" w:lastRow="0" w:firstColumn="1" w:lastColumn="0" w:noHBand="0" w:noVBand="1"/>
      </w:tblPr>
      <w:tblGrid>
        <w:gridCol w:w="446"/>
        <w:gridCol w:w="446"/>
        <w:gridCol w:w="446"/>
        <w:gridCol w:w="446"/>
        <w:gridCol w:w="368"/>
        <w:gridCol w:w="368"/>
        <w:gridCol w:w="363"/>
        <w:gridCol w:w="363"/>
        <w:gridCol w:w="363"/>
        <w:gridCol w:w="363"/>
        <w:gridCol w:w="356"/>
        <w:gridCol w:w="356"/>
        <w:gridCol w:w="356"/>
        <w:gridCol w:w="356"/>
        <w:gridCol w:w="356"/>
        <w:gridCol w:w="358"/>
        <w:gridCol w:w="358"/>
        <w:gridCol w:w="358"/>
        <w:gridCol w:w="358"/>
        <w:gridCol w:w="358"/>
        <w:gridCol w:w="358"/>
        <w:gridCol w:w="358"/>
        <w:gridCol w:w="358"/>
        <w:gridCol w:w="358"/>
        <w:gridCol w:w="358"/>
        <w:gridCol w:w="358"/>
        <w:gridCol w:w="358"/>
        <w:gridCol w:w="356"/>
      </w:tblGrid>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rPr>
                <w:rFonts w:ascii="Times New Roman" w:eastAsia="Times New Roman" w:hAnsi="Times New Roman" w:cs="Times New Roman"/>
                <w:sz w:val="24"/>
                <w:szCs w:val="24"/>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378" w:type="dxa"/>
            <w:gridSpan w:val="2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center"/>
              <w:rPr>
                <w:rFonts w:ascii="Arial" w:eastAsia="Times New Roman" w:hAnsi="Arial" w:cs="Arial"/>
                <w:b/>
                <w:bCs/>
                <w:color w:val="000000"/>
                <w:sz w:val="32"/>
                <w:szCs w:val="32"/>
                <w:lang w:eastAsia="es-ES"/>
              </w:rPr>
            </w:pPr>
            <w:r w:rsidRPr="00124D8F">
              <w:rPr>
                <w:rFonts w:ascii="Arial" w:eastAsia="Times New Roman" w:hAnsi="Arial" w:cs="Arial"/>
                <w:b/>
                <w:bCs/>
                <w:color w:val="000000"/>
                <w:sz w:val="32"/>
                <w:szCs w:val="32"/>
                <w:lang w:eastAsia="es-ES"/>
              </w:rPr>
              <w:t>GLOSARIO</w:t>
            </w: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center"/>
              <w:rPr>
                <w:rFonts w:ascii="Arial" w:eastAsia="Times New Roman" w:hAnsi="Arial" w:cs="Arial"/>
                <w:b/>
                <w:bCs/>
                <w:color w:val="000000"/>
                <w:sz w:val="32"/>
                <w:szCs w:val="32"/>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208" w:type="dxa"/>
            <w:gridSpan w:val="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color w:val="000000"/>
                <w:lang w:eastAsia="es-ES"/>
              </w:rPr>
            </w:pPr>
            <w:bookmarkStart w:id="0" w:name="RANGE!A7"/>
            <w:r w:rsidRPr="00124D8F">
              <w:rPr>
                <w:rFonts w:ascii="Arial" w:eastAsia="Times New Roman" w:hAnsi="Arial" w:cs="Arial"/>
                <w:b/>
                <w:bCs/>
                <w:color w:val="000000"/>
                <w:lang w:eastAsia="es-ES"/>
              </w:rPr>
              <w:t>Ámbito Profesional</w:t>
            </w:r>
            <w:bookmarkEnd w:id="0"/>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Espacio profesional donde la persona cualificada puede desarrollar su actividad laboral. Indica el tipo, el área o departamento, la naturaleza pública o privada y el tamaño de la entidad. También recoge el desempeño de la actividad profesional por cuenta propia o ajena, la dependencia organizativa, si constituye actividad o profesión regulada. Por último indica la necesidad de tener en cuenta los principios de accesibilidad universal.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1472" w:type="dxa"/>
            <w:gridSpan w:val="4"/>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Capacidades </w:t>
            </w: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Expresan los resultados de aprendizaje esperados de la formación definida en cada Módulo formativo. Identifican y describen los resultados críticos del aprendizaje junto con las condiciones en que se han de alcanzar. El conjunto de capacidades del Módulo formativo han de garantizar el logro de la profesionalidad definida en la Unidad de competencia a la que se asocia.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8662" w:type="dxa"/>
            <w:gridSpan w:val="24"/>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Capacidades cuya adquisición debe ser completada en un entorno real de trabajo</w:t>
            </w: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Capacidades o criterios de evaluación que, por su naturaleza, requieren para su logro de medios y estructuras organizativas propias de centros de producción o de prestación de servicios. Incluye además Otras capacidades que inciden en las habilidades que deben ser propias de dicho profesional.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4372" w:type="dxa"/>
            <w:gridSpan w:val="12"/>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Competencia General de la Cualificación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Describe de forma abreviada el cometido y funciones esenciales de los profesionales vinculados a la Cualificación profesional.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934" w:type="dxa"/>
            <w:gridSpan w:val="8"/>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Competencia Profesional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Conjunto de conocimientos y capacidades que permiten el ejercicio de la actividad profesional conforme a las exigencias de la producción y el empleo. Se expresa a través de funciones, actividades o actuaciones profesionales y resultados de trabajo requeridos para el empleo en las empresas u organizaciones.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4372" w:type="dxa"/>
            <w:gridSpan w:val="12"/>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Contenidos de los Módulos formativos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Constituyen el instrumento que permite alcanzar las Capacidades del Módulo formativo. Se expresan en forma de enunciados que hacen referencia a los distintos saberes profesionales definidos en las capacidades y se organizan en bloques coherentes para el desarrollo del aprendizaje.</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571" w:type="dxa"/>
            <w:gridSpan w:val="7"/>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Contexto Profesional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Describe, con carácter orientador, los medios de producción, productos y resultados del trabajo, información utilizada o generada y cuantos elementos de análoga naturaleza se consideren necesarios para enmarcar la realización profesional.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297" w:type="dxa"/>
            <w:gridSpan w:val="9"/>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Criterios de Evaluación (CE)</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Conjunto de precisiones que establecen, en cada capacidad, el nivel, las condiciones y el contexto en el que va a ser evaluada para demostrar que se ha logrado. Garantizan la evaluación de los fundamentos científico-técnicos, procedimentales, valores y actitudes profesionales que requiere la capacidad.</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297" w:type="dxa"/>
            <w:gridSpan w:val="9"/>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Criterios de Realización (CR)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Conjunto de aspectos y logros críticos y significativos de las actividades de trabajo que permiten medir el desempeño competente de cada realización profesional. Expresan el nivel aceptable de la realización profesional que satisface los objetivos de las organizaciones productivas y constituye una guía para la evaluación de la competencia profesional.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934" w:type="dxa"/>
            <w:gridSpan w:val="8"/>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Cualificación Profesional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El conjunto de competencias profesionales con significación para el empleo que pueden ser adquiridas mediante formación modular u otros tipos de formación, así como a través de la experiencia laboral. Su estructura 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val="restart"/>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noProof/>
                <w:color w:val="000000"/>
                <w:lang w:eastAsia="es-ES"/>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4600575" cy="1295400"/>
                  <wp:effectExtent l="0" t="0" r="9525" b="0"/>
                  <wp:wrapNone/>
                  <wp:docPr id="4" name="Imagen 4"/>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4" cstate="print"/>
                          <a:srcRect/>
                          <a:stretch>
                            <a:fillRect/>
                          </a:stretch>
                        </pic:blipFill>
                        <pic:spPr bwMode="auto">
                          <a:xfrm>
                            <a:off x="0" y="0"/>
                            <a:ext cx="4791710" cy="13023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7558" w:type="dxa"/>
            <w:gridSpan w:val="21"/>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4016" w:type="dxa"/>
            <w:gridSpan w:val="11"/>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Duración de los Módulos Formativos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Especificaciones orientativas sobre las horas mínimas de aprendizaje para alcanzar las capacidades definidas en el Módulo Formativo. Constituyen una referencia para la elaboración de la oferta formativa.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208" w:type="dxa"/>
            <w:gridSpan w:val="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Entorno Profesional</w:t>
            </w: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Conjunto de elementos que ayudan a definir el marco </w:t>
            </w:r>
            <w:proofErr w:type="spellStart"/>
            <w:r w:rsidRPr="00124D8F">
              <w:rPr>
                <w:rFonts w:ascii="Arial" w:eastAsia="Times New Roman" w:hAnsi="Arial" w:cs="Arial"/>
                <w:color w:val="000000"/>
                <w:sz w:val="20"/>
                <w:szCs w:val="20"/>
                <w:lang w:eastAsia="es-ES"/>
              </w:rPr>
              <w:t>sociolaboral</w:t>
            </w:r>
            <w:proofErr w:type="spellEnd"/>
            <w:r w:rsidRPr="00124D8F">
              <w:rPr>
                <w:rFonts w:ascii="Arial" w:eastAsia="Times New Roman" w:hAnsi="Arial" w:cs="Arial"/>
                <w:color w:val="000000"/>
                <w:sz w:val="20"/>
                <w:szCs w:val="20"/>
                <w:lang w:eastAsia="es-ES"/>
              </w:rPr>
              <w:t xml:space="preserve"> de posible actuación del poseedor de la cualificación. Indica, con carácter orientador, el ámbito profesional, los sectores productivos y las ocupaciones o puestos de trabajo relacionados con la cualificación profesional.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208" w:type="dxa"/>
            <w:gridSpan w:val="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1" w:name="RANGE!A77"/>
            <w:r w:rsidRPr="00124D8F">
              <w:rPr>
                <w:rFonts w:ascii="Arial" w:eastAsia="Times New Roman" w:hAnsi="Arial" w:cs="Arial"/>
                <w:b/>
                <w:bCs/>
                <w:color w:val="000000"/>
                <w:lang w:eastAsia="es-ES"/>
              </w:rPr>
              <w:t>Familia Profesional</w:t>
            </w:r>
            <w:bookmarkEnd w:id="1"/>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Conjunto de Cualificaciones Profesionales agrupadas atendiendo a criterios de afinidad de la competencia profesional. El Catálogo Nacional de Cualificaciones Profesionales se estructura en 26 Familias Profesionales: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Agraria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Edificación y Obra Civil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Marítimo–Pesquera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       Vidrio y Cerámica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Industrias Alimentarias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Madera, Mueble y Corcho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Química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Textil, Confección y Piel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Imagen Personal</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Artes Gráficas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Sanidad</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Imagen y Sonido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Seguridad y Medio Ambiente</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       Informática y Comunicaciones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Fabricación Mecánica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Administración y Gestión</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Instalación y Mantenimiento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Comercio y Marketing</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Electricidad y Electrónica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Servicios Socioculturales y a la Comunidad</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Energía y Agua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Hostelería y Turismo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Transporte y Mantenimiento de Vehículos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Actividades Físicas y Deportivas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360"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Industrias Extractivas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4296" w:type="dxa"/>
            <w:gridSpan w:val="12"/>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Artes y Artesanías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208" w:type="dxa"/>
            <w:gridSpan w:val="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2" w:name="RANGE!A95"/>
            <w:r w:rsidRPr="00124D8F">
              <w:rPr>
                <w:rFonts w:ascii="Arial" w:eastAsia="Times New Roman" w:hAnsi="Arial" w:cs="Arial"/>
                <w:b/>
                <w:bCs/>
                <w:color w:val="000000"/>
                <w:lang w:eastAsia="es-ES"/>
              </w:rPr>
              <w:t>Formación Asociada</w:t>
            </w:r>
            <w:bookmarkEnd w:id="2"/>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Conjunto de Módulos formativos asociados a las Unidades de competencia de la Cualificación. Esta formación constituye un referente para la definición de los Títulos de Formación Profesional y Certificados de Profesionalidad.</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60" w:type="dxa"/>
            <w:gridSpan w:val="10"/>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Información Utilizada o Generada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Fuentes, medios o soportes de información manejada, elaborada o creada como producto intermedio para la realización de los productos y resultados definidos en la Unidad de Competencia.</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571" w:type="dxa"/>
            <w:gridSpan w:val="7"/>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Medios de Producción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Equipos y medios tecnológicos y productivos utilizados en el desarrollo de las actividades profesionales incluidas en la Unidad de competencia. Se requieren en la elaboración del producto o en la prestación del servicio.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571" w:type="dxa"/>
            <w:gridSpan w:val="7"/>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Módulo Formativo (MF) </w:t>
            </w: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Bloque coherente de formación asociado a cada una de las Unidades de Competencia definidos en una cualificación. Su estructura 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val="restart"/>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noProof/>
                <w:color w:val="000000"/>
                <w:lang w:eastAsia="es-ES"/>
              </w:rPr>
              <w:drawing>
                <wp:anchor distT="0" distB="0" distL="114300" distR="114300" simplePos="0" relativeHeight="251658240" behindDoc="0" locked="0" layoutInCell="1" allowOverlap="1">
                  <wp:simplePos x="0" y="0"/>
                  <wp:positionH relativeFrom="column">
                    <wp:posOffset>95250</wp:posOffset>
                  </wp:positionH>
                  <wp:positionV relativeFrom="paragraph">
                    <wp:posOffset>0</wp:posOffset>
                  </wp:positionV>
                  <wp:extent cx="5086350" cy="2066925"/>
                  <wp:effectExtent l="0" t="0" r="0" b="0"/>
                  <wp:wrapNone/>
                  <wp:docPr id="5" name="Imagen 5"/>
                  <wp:cNvGraphicFramePr/>
                  <a:graphic xmlns:a="http://schemas.openxmlformats.org/drawingml/2006/main">
                    <a:graphicData uri="http://schemas.openxmlformats.org/drawingml/2006/picture">
                      <pic:pic xmlns:pic="http://schemas.openxmlformats.org/drawingml/2006/picture">
                        <pic:nvPicPr>
                          <pic:cNvPr id="5" name="4 Imagen"/>
                          <pic:cNvPicPr/>
                        </pic:nvPicPr>
                        <pic:blipFill>
                          <a:blip r:embed="rId5" cstate="print"/>
                          <a:srcRect/>
                          <a:stretch>
                            <a:fillRect/>
                          </a:stretch>
                        </pic:blipFill>
                        <pic:spPr bwMode="auto">
                          <a:xfrm>
                            <a:off x="0" y="0"/>
                            <a:ext cx="5295900" cy="2070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8284" w:type="dxa"/>
            <w:gridSpan w:val="23"/>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4016" w:type="dxa"/>
            <w:gridSpan w:val="11"/>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Niveles de Cualificación Profesional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Son los que se establecen atendiendo a la competencia profesional requerida por las actividades productivas con arreglo a criterios de conocimientos, iniciativa, autonomía, responsabilidad y complejidad. Los niveles se definen de uno a cinco, donde el uno corresponde al más básico mientras el cinco es el que exige mayor grado de cualificación del trabajador.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val="restart"/>
            <w:tcBorders>
              <w:top w:val="nil"/>
              <w:left w:val="nil"/>
              <w:bottom w:val="nil"/>
              <w:right w:val="nil"/>
            </w:tcBorders>
            <w:shd w:val="clear" w:color="auto" w:fill="auto"/>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b/>
                <w:bCs/>
                <w:color w:val="000000"/>
                <w:lang w:eastAsia="es-ES"/>
              </w:rPr>
              <w:t>Nivel 1:</w:t>
            </w:r>
            <w:r w:rsidRPr="00124D8F">
              <w:rPr>
                <w:rFonts w:ascii="Calibri" w:eastAsia="Times New Roman" w:hAnsi="Calibri" w:cs="Calibri"/>
                <w:color w:val="000000"/>
                <w:lang w:eastAsia="es-ES"/>
              </w:rPr>
              <w:t xml:space="preserve"> Competencia en un conjunto reducido de actividades de trabajo relativamente simples correspondientes a procesos normalizados, siendo los conocimientos teóricos y las capacidades prácticas a aplicar limitados.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val="restart"/>
            <w:tcBorders>
              <w:top w:val="nil"/>
              <w:left w:val="nil"/>
              <w:bottom w:val="nil"/>
              <w:right w:val="nil"/>
            </w:tcBorders>
            <w:shd w:val="clear" w:color="auto" w:fill="auto"/>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b/>
                <w:bCs/>
                <w:color w:val="000000"/>
                <w:lang w:eastAsia="es-ES"/>
              </w:rPr>
              <w:t>Nivel 2:</w:t>
            </w:r>
            <w:r w:rsidRPr="00124D8F">
              <w:rPr>
                <w:rFonts w:ascii="Calibri" w:eastAsia="Times New Roman" w:hAnsi="Calibri" w:cs="Calibri"/>
                <w:color w:val="000000"/>
                <w:lang w:eastAsia="es-ES"/>
              </w:rPr>
              <w:t xml:space="preserve"> Competencia en un conjunto de actividades profesionales bien determinadas con la capacidad de utilizar los instrumentos y técnicas propias, que concierne principalmente a un trabajo de ejecución que puede ser autónomo en el límite de dichas técnicas. Requiere conocimientos de los fundamentos técnicos y científicos de su actividad y capacidades de comprensión y aplicación del proceso.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val="restart"/>
            <w:tcBorders>
              <w:top w:val="nil"/>
              <w:left w:val="nil"/>
              <w:bottom w:val="nil"/>
              <w:right w:val="nil"/>
            </w:tcBorders>
            <w:shd w:val="clear" w:color="auto" w:fill="auto"/>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b/>
                <w:bCs/>
                <w:color w:val="000000"/>
                <w:lang w:eastAsia="es-ES"/>
              </w:rPr>
              <w:t>Nivel 3:</w:t>
            </w:r>
            <w:r w:rsidRPr="00124D8F">
              <w:rPr>
                <w:rFonts w:ascii="Calibri" w:eastAsia="Times New Roman" w:hAnsi="Calibri" w:cs="Calibri"/>
                <w:color w:val="000000"/>
                <w:lang w:eastAsia="es-ES"/>
              </w:rPr>
              <w:t xml:space="preserve"> Competencia en un conjunto de actividades profesionales que requieren el dominio de diversas técnicas y puede ser ejecutado de forma autónoma. Comporta responsabilidad de coordinación y supervisión de trabajo técnico y especializado. Exige la comprensión de los fundamentos técnicos y científicos de las actividades y la evaluación de los factores del proceso y de sus repercusiones económicas.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val="restart"/>
            <w:tcBorders>
              <w:top w:val="nil"/>
              <w:left w:val="nil"/>
              <w:bottom w:val="nil"/>
              <w:right w:val="nil"/>
            </w:tcBorders>
            <w:shd w:val="clear" w:color="auto" w:fill="auto"/>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b/>
                <w:bCs/>
                <w:color w:val="000000"/>
                <w:lang w:eastAsia="es-ES"/>
              </w:rPr>
              <w:t>Nivel 4:</w:t>
            </w:r>
            <w:r w:rsidRPr="00124D8F">
              <w:rPr>
                <w:rFonts w:ascii="Calibri" w:eastAsia="Times New Roman" w:hAnsi="Calibri" w:cs="Calibri"/>
                <w:color w:val="000000"/>
                <w:lang w:eastAsia="es-ES"/>
              </w:rPr>
              <w:t xml:space="preserve"> Competencia en un amplio conjunto de actividades profesionales complejas realizadas en una gran variedad de contextos que requieren conjugar variables de tipo técnico, científico, económico u organizativo para planificar acciones, definir o desarrollar proyectos, procesos, productos o servicios.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val="restart"/>
            <w:tcBorders>
              <w:top w:val="nil"/>
              <w:left w:val="nil"/>
              <w:bottom w:val="nil"/>
              <w:right w:val="nil"/>
            </w:tcBorders>
            <w:shd w:val="clear" w:color="auto" w:fill="auto"/>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b/>
                <w:bCs/>
                <w:color w:val="000000"/>
                <w:lang w:eastAsia="es-ES"/>
              </w:rPr>
              <w:t>Nivel 5:</w:t>
            </w:r>
            <w:r w:rsidRPr="00124D8F">
              <w:rPr>
                <w:rFonts w:ascii="Calibri" w:eastAsia="Times New Roman" w:hAnsi="Calibri" w:cs="Calibri"/>
                <w:color w:val="000000"/>
                <w:lang w:eastAsia="es-ES"/>
              </w:rPr>
              <w:t xml:space="preserve"> Competencia en un amplio conjunto de actividades profesionales de gran complejidad, realizadas en diversos contextos, a menudo impredecibles, que implica planificar acciones o idear productos, procesos o servicios. Gran autonomía personal. Responsabilidad frecuente en la asignación de recursos, en el análisis, diagnóstico, diseño, planificación, ejecución y evaluación.</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368" w:type="dxa"/>
            <w:gridSpan w:val="26"/>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60" w:type="dxa"/>
            <w:gridSpan w:val="10"/>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r w:rsidRPr="00124D8F">
              <w:rPr>
                <w:rFonts w:ascii="Arial" w:eastAsia="Times New Roman" w:hAnsi="Arial" w:cs="Arial"/>
                <w:b/>
                <w:bCs/>
                <w:color w:val="000000"/>
                <w:lang w:eastAsia="es-ES"/>
              </w:rPr>
              <w:t xml:space="preserve">Ocupaciones y Puestos de Trabajo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Identifican los roles profesionales más relevantes que puede desempeñar una persona que posee las competencias definidas en la Cualificación. Las ocupaciones agrupan a diferentes puestos de trabajo con afinidad en la competencia. Son reconocibles en el sistema productivo y mercado laboral. Permiten, en su caso, establecer una vinculación con las principales clasificaciones nacionales e internacionales de ocupaciones.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208" w:type="dxa"/>
            <w:gridSpan w:val="6"/>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lang w:eastAsia="es-ES"/>
              </w:rPr>
            </w:pPr>
            <w:bookmarkStart w:id="3" w:name="RANGE!A154"/>
            <w:r w:rsidRPr="00124D8F">
              <w:rPr>
                <w:rFonts w:ascii="Arial" w:eastAsia="Times New Roman" w:hAnsi="Arial" w:cs="Arial"/>
                <w:b/>
                <w:bCs/>
                <w:lang w:eastAsia="es-ES"/>
              </w:rPr>
              <w:t xml:space="preserve">Perfil del Formador </w:t>
            </w:r>
            <w:bookmarkEnd w:id="3"/>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sz w:val="20"/>
                <w:szCs w:val="20"/>
                <w:lang w:eastAsia="es-ES"/>
              </w:rPr>
            </w:pPr>
            <w:r w:rsidRPr="00124D8F">
              <w:rPr>
                <w:rFonts w:ascii="Arial" w:eastAsia="Times New Roman" w:hAnsi="Arial" w:cs="Arial"/>
                <w:sz w:val="20"/>
                <w:szCs w:val="20"/>
                <w:lang w:eastAsia="es-ES"/>
              </w:rPr>
              <w:t xml:space="preserve">Referencia de titulación o experiencia profesional requerida para la impartición del Módulo Formativo, que se </w:t>
            </w:r>
            <w:bookmarkStart w:id="4" w:name="_GoBack"/>
            <w:bookmarkEnd w:id="4"/>
            <w:r w:rsidRPr="00124D8F">
              <w:rPr>
                <w:rFonts w:ascii="Arial" w:eastAsia="Times New Roman" w:hAnsi="Arial" w:cs="Arial"/>
                <w:sz w:val="20"/>
                <w:szCs w:val="20"/>
                <w:lang w:eastAsia="es-ES"/>
              </w:rPr>
              <w:t>concretará en los Títulos de Formación Profesional o en los Certificados de Profesionalidad. Los niveles mencionados están expresados de acuerdo con el MECES (Marco Español de Cualificación para la Educación Superior). El Nivel 1 corresponde a Técnico Superior de Formación Profesional, Técnico Superior de Artes Plásticas y Diseño o Técnico Deportivo Superior y el Nivel 2 corresponde a Título de Graduado o Título Superior de las Enseñanzas Artísticas Superiores.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571" w:type="dxa"/>
            <w:gridSpan w:val="7"/>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5" w:name="RANGE!A161"/>
            <w:r w:rsidRPr="00124D8F">
              <w:rPr>
                <w:rFonts w:ascii="Arial" w:eastAsia="Times New Roman" w:hAnsi="Arial" w:cs="Arial"/>
                <w:b/>
                <w:bCs/>
                <w:color w:val="000000"/>
                <w:lang w:eastAsia="es-ES"/>
              </w:rPr>
              <w:t>Productos y Resultados</w:t>
            </w:r>
            <w:bookmarkEnd w:id="5"/>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Logros obtenidos a través de las actividades de trabajo recogidas en las Realizaciones Profesionales y los Criterios de Realización de la Unidad de Competencia.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60" w:type="dxa"/>
            <w:gridSpan w:val="10"/>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6" w:name="RANGE!A165"/>
            <w:r w:rsidRPr="00124D8F">
              <w:rPr>
                <w:rFonts w:ascii="Arial" w:eastAsia="Times New Roman" w:hAnsi="Arial" w:cs="Arial"/>
                <w:b/>
                <w:bCs/>
                <w:color w:val="000000"/>
                <w:lang w:eastAsia="es-ES"/>
              </w:rPr>
              <w:t xml:space="preserve">Realizaciones Profesionales (RP) </w:t>
            </w:r>
            <w:bookmarkEnd w:id="6"/>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 xml:space="preserve">Elementos de la competencia que establecen el comportamiento esperado de la persona, en forma de consecuencias o resultados de las actividades profesionales que realiza. </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2571" w:type="dxa"/>
            <w:gridSpan w:val="7"/>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7" w:name="RANGE!A169"/>
            <w:r w:rsidRPr="00124D8F">
              <w:rPr>
                <w:rFonts w:ascii="Arial" w:eastAsia="Times New Roman" w:hAnsi="Arial" w:cs="Arial"/>
                <w:b/>
                <w:bCs/>
                <w:color w:val="000000"/>
                <w:lang w:eastAsia="es-ES"/>
              </w:rPr>
              <w:t xml:space="preserve">Sectores Productivos </w:t>
            </w:r>
            <w:bookmarkEnd w:id="7"/>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Cada uno de los grupos de actividades empresariales y productivas en los que se ubican las empresas o trabajadores relacionados con la cualificación y se vinculan a un determinado sector económico.</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297" w:type="dxa"/>
            <w:gridSpan w:val="9"/>
            <w:tcBorders>
              <w:top w:val="nil"/>
              <w:left w:val="nil"/>
              <w:bottom w:val="nil"/>
              <w:right w:val="nil"/>
            </w:tcBorders>
            <w:shd w:val="clear" w:color="auto" w:fill="auto"/>
            <w:noWrap/>
            <w:vAlign w:val="center"/>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bookmarkStart w:id="8" w:name="RANGE!A173"/>
            <w:r w:rsidRPr="00124D8F">
              <w:rPr>
                <w:rFonts w:ascii="Arial" w:eastAsia="Times New Roman" w:hAnsi="Arial" w:cs="Arial"/>
                <w:b/>
                <w:bCs/>
                <w:color w:val="000000"/>
                <w:lang w:eastAsia="es-ES"/>
              </w:rPr>
              <w:t xml:space="preserve">Unidad de Competencia (UC) </w:t>
            </w:r>
            <w:bookmarkEnd w:id="8"/>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b/>
                <w:bCs/>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val="restart"/>
            <w:tcBorders>
              <w:top w:val="nil"/>
              <w:left w:val="nil"/>
              <w:bottom w:val="nil"/>
              <w:right w:val="nil"/>
            </w:tcBorders>
            <w:shd w:val="clear" w:color="auto" w:fill="auto"/>
            <w:vAlign w:val="center"/>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r w:rsidRPr="00124D8F">
              <w:rPr>
                <w:rFonts w:ascii="Arial" w:eastAsia="Times New Roman" w:hAnsi="Arial" w:cs="Arial"/>
                <w:color w:val="000000"/>
                <w:sz w:val="20"/>
                <w:szCs w:val="20"/>
                <w:lang w:eastAsia="es-ES"/>
              </w:rPr>
              <w:t>El agregado mínimo de competencias profesionales, susceptible de reconocimiento y acreditación parcial, a los efectos previstos en el artículo 8.3 de la Ley Orgánica 5/2002, de 19 de junio, de las Cualificaciones y de la Formación Profesional. Su estructura es:</w:t>
            </w: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Arial" w:eastAsia="Times New Roman" w:hAnsi="Arial" w:cs="Arial"/>
                <w:color w:val="000000"/>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9736" w:type="dxa"/>
            <w:gridSpan w:val="27"/>
            <w:vMerge/>
            <w:tcBorders>
              <w:top w:val="nil"/>
              <w:left w:val="nil"/>
              <w:bottom w:val="nil"/>
              <w:right w:val="nil"/>
            </w:tcBorders>
            <w:vAlign w:val="center"/>
            <w:hideMark/>
          </w:tcPr>
          <w:p w:rsidR="00124D8F" w:rsidRPr="00124D8F" w:rsidRDefault="00124D8F" w:rsidP="00124D8F">
            <w:pPr>
              <w:spacing w:after="0" w:line="240" w:lineRule="auto"/>
              <w:ind w:left="284"/>
              <w:rPr>
                <w:rFonts w:ascii="Arial" w:eastAsia="Times New Roman" w:hAnsi="Arial" w:cs="Arial"/>
                <w:color w:val="000000"/>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val="restart"/>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r w:rsidRPr="00124D8F">
              <w:rPr>
                <w:rFonts w:ascii="Calibri" w:eastAsia="Times New Roman" w:hAnsi="Calibri" w:cs="Calibri"/>
                <w:noProof/>
                <w:color w:val="000000"/>
                <w:lang w:eastAsia="es-ES"/>
              </w:rPr>
              <w:drawing>
                <wp:anchor distT="0" distB="0" distL="114300" distR="114300" simplePos="0" relativeHeight="251658240" behindDoc="0" locked="0" layoutInCell="1" allowOverlap="1">
                  <wp:simplePos x="0" y="0"/>
                  <wp:positionH relativeFrom="column">
                    <wp:posOffset>104775</wp:posOffset>
                  </wp:positionH>
                  <wp:positionV relativeFrom="paragraph">
                    <wp:posOffset>0</wp:posOffset>
                  </wp:positionV>
                  <wp:extent cx="5534025" cy="1200150"/>
                  <wp:effectExtent l="0" t="0" r="9525" b="0"/>
                  <wp:wrapNone/>
                  <wp:docPr id="6" name="Imagen 6"/>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6" cstate="print"/>
                          <a:srcRect t="14410"/>
                          <a:stretch>
                            <a:fillRect/>
                          </a:stretch>
                        </pic:blipFill>
                        <pic:spPr bwMode="auto">
                          <a:xfrm>
                            <a:off x="0" y="0"/>
                            <a:ext cx="5756910" cy="11995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Calibri" w:eastAsia="Times New Roman" w:hAnsi="Calibri" w:cs="Calibri"/>
                <w:color w:val="00000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9010" w:type="dxa"/>
            <w:gridSpan w:val="25"/>
            <w:vMerge/>
            <w:tcBorders>
              <w:top w:val="nil"/>
              <w:left w:val="nil"/>
              <w:bottom w:val="nil"/>
              <w:right w:val="nil"/>
            </w:tcBorders>
            <w:vAlign w:val="center"/>
            <w:hideMark/>
          </w:tcPr>
          <w:p w:rsidR="00124D8F" w:rsidRPr="00124D8F" w:rsidRDefault="00124D8F" w:rsidP="00124D8F">
            <w:pPr>
              <w:spacing w:after="0" w:line="240" w:lineRule="auto"/>
              <w:ind w:left="284"/>
              <w:rPr>
                <w:rFonts w:ascii="Calibri" w:eastAsia="Times New Roman" w:hAnsi="Calibri" w:cs="Calibri"/>
                <w:color w:val="00000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r w:rsidR="00124D8F" w:rsidRPr="00124D8F" w:rsidTr="00124D8F">
        <w:trPr>
          <w:trHeight w:val="300"/>
        </w:trPr>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63"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8"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c>
          <w:tcPr>
            <w:tcW w:w="356" w:type="dxa"/>
            <w:tcBorders>
              <w:top w:val="nil"/>
              <w:left w:val="nil"/>
              <w:bottom w:val="nil"/>
              <w:right w:val="nil"/>
            </w:tcBorders>
            <w:shd w:val="clear" w:color="auto" w:fill="auto"/>
            <w:noWrap/>
            <w:vAlign w:val="bottom"/>
            <w:hideMark/>
          </w:tcPr>
          <w:p w:rsidR="00124D8F" w:rsidRPr="00124D8F" w:rsidRDefault="00124D8F" w:rsidP="00124D8F">
            <w:pPr>
              <w:spacing w:after="0" w:line="240" w:lineRule="auto"/>
              <w:ind w:left="284"/>
              <w:jc w:val="both"/>
              <w:rPr>
                <w:rFonts w:ascii="Times New Roman" w:eastAsia="Times New Roman" w:hAnsi="Times New Roman" w:cs="Times New Roman"/>
                <w:sz w:val="20"/>
                <w:szCs w:val="20"/>
                <w:lang w:eastAsia="es-ES"/>
              </w:rPr>
            </w:pPr>
          </w:p>
        </w:tc>
      </w:tr>
    </w:tbl>
    <w:p w:rsidR="0066121F" w:rsidRDefault="0066121F" w:rsidP="00124D8F">
      <w:pPr>
        <w:ind w:left="284"/>
      </w:pPr>
    </w:p>
    <w:sectPr w:rsidR="0066121F" w:rsidSect="00124D8F">
      <w:pgSz w:w="11906" w:h="16838"/>
      <w:pgMar w:top="1417" w:right="170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8F"/>
    <w:rsid w:val="00124D8F"/>
    <w:rsid w:val="006612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43E6CC05-D831-4034-A730-74C131D8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24D8F"/>
    <w:rPr>
      <w:color w:val="0000FF"/>
      <w:u w:val="single"/>
    </w:rPr>
  </w:style>
  <w:style w:type="character" w:styleId="Hipervnculovisitado">
    <w:name w:val="FollowedHyperlink"/>
    <w:basedOn w:val="Fuentedeprrafopredeter"/>
    <w:uiPriority w:val="99"/>
    <w:semiHidden/>
    <w:unhideWhenUsed/>
    <w:rsid w:val="00124D8F"/>
    <w:rPr>
      <w:color w:val="800080"/>
      <w:u w:val="single"/>
    </w:rPr>
  </w:style>
  <w:style w:type="paragraph" w:customStyle="1" w:styleId="msonormal0">
    <w:name w:val="msonormal"/>
    <w:basedOn w:val="Normal"/>
    <w:rsid w:val="00124D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0">
    <w:name w:val="font0"/>
    <w:basedOn w:val="Normal"/>
    <w:rsid w:val="00124D8F"/>
    <w:pPr>
      <w:spacing w:before="100" w:beforeAutospacing="1" w:after="100" w:afterAutospacing="1" w:line="240" w:lineRule="auto"/>
    </w:pPr>
    <w:rPr>
      <w:rFonts w:ascii="Calibri" w:eastAsia="Times New Roman" w:hAnsi="Calibri" w:cs="Calibri"/>
      <w:color w:val="000000"/>
      <w:lang w:eastAsia="es-ES"/>
    </w:rPr>
  </w:style>
  <w:style w:type="paragraph" w:customStyle="1" w:styleId="font5">
    <w:name w:val="font5"/>
    <w:basedOn w:val="Normal"/>
    <w:rsid w:val="00124D8F"/>
    <w:pPr>
      <w:spacing w:before="100" w:beforeAutospacing="1" w:after="100" w:afterAutospacing="1" w:line="240" w:lineRule="auto"/>
    </w:pPr>
    <w:rPr>
      <w:rFonts w:ascii="Arial" w:eastAsia="Times New Roman" w:hAnsi="Arial" w:cs="Arial"/>
      <w:b/>
      <w:bCs/>
      <w:color w:val="000000"/>
      <w:lang w:eastAsia="es-ES"/>
    </w:rPr>
  </w:style>
  <w:style w:type="paragraph" w:customStyle="1" w:styleId="font6">
    <w:name w:val="font6"/>
    <w:basedOn w:val="Normal"/>
    <w:rsid w:val="00124D8F"/>
    <w:pPr>
      <w:spacing w:before="100" w:beforeAutospacing="1" w:after="100" w:afterAutospacing="1" w:line="240" w:lineRule="auto"/>
    </w:pPr>
    <w:rPr>
      <w:rFonts w:ascii="Calibri" w:eastAsia="Times New Roman" w:hAnsi="Calibri" w:cs="Calibri"/>
      <w:b/>
      <w:bCs/>
      <w:color w:val="000000"/>
      <w:lang w:eastAsia="es-ES"/>
    </w:rPr>
  </w:style>
  <w:style w:type="paragraph" w:customStyle="1" w:styleId="font7">
    <w:name w:val="font7"/>
    <w:basedOn w:val="Normal"/>
    <w:rsid w:val="00124D8F"/>
    <w:pPr>
      <w:spacing w:before="100" w:beforeAutospacing="1" w:after="100" w:afterAutospacing="1" w:line="240" w:lineRule="auto"/>
    </w:pPr>
    <w:rPr>
      <w:rFonts w:ascii="Arial" w:eastAsia="Times New Roman" w:hAnsi="Arial" w:cs="Arial"/>
      <w:i/>
      <w:iCs/>
      <w:color w:val="0070C0"/>
      <w:sz w:val="14"/>
      <w:szCs w:val="14"/>
      <w:lang w:eastAsia="es-ES"/>
    </w:rPr>
  </w:style>
  <w:style w:type="paragraph" w:customStyle="1" w:styleId="xl88">
    <w:name w:val="xl88"/>
    <w:basedOn w:val="Normal"/>
    <w:rsid w:val="00124D8F"/>
    <w:pPr>
      <w:spacing w:before="100" w:beforeAutospacing="1" w:after="100" w:afterAutospacing="1" w:line="240" w:lineRule="auto"/>
      <w:jc w:val="both"/>
    </w:pPr>
    <w:rPr>
      <w:rFonts w:ascii="Arial" w:eastAsia="Times New Roman" w:hAnsi="Arial" w:cs="Arial"/>
      <w:b/>
      <w:bCs/>
      <w:color w:val="0070C0"/>
      <w:sz w:val="14"/>
      <w:szCs w:val="14"/>
      <w:lang w:eastAsia="es-ES"/>
    </w:rPr>
  </w:style>
  <w:style w:type="paragraph" w:customStyle="1" w:styleId="xl89">
    <w:name w:val="xl89"/>
    <w:basedOn w:val="Normal"/>
    <w:rsid w:val="00124D8F"/>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xl90">
    <w:name w:val="xl90"/>
    <w:basedOn w:val="Normal"/>
    <w:rsid w:val="00124D8F"/>
    <w:pPr>
      <w:spacing w:before="100" w:beforeAutospacing="1" w:after="100" w:afterAutospacing="1" w:line="240" w:lineRule="auto"/>
      <w:jc w:val="both"/>
      <w:textAlignment w:val="center"/>
    </w:pPr>
    <w:rPr>
      <w:rFonts w:ascii="Arial" w:eastAsia="Times New Roman" w:hAnsi="Arial" w:cs="Arial"/>
      <w:b/>
      <w:bCs/>
      <w:sz w:val="32"/>
      <w:szCs w:val="32"/>
      <w:lang w:eastAsia="es-ES"/>
    </w:rPr>
  </w:style>
  <w:style w:type="paragraph" w:customStyle="1" w:styleId="xl91">
    <w:name w:val="xl91"/>
    <w:basedOn w:val="Normal"/>
    <w:rsid w:val="00124D8F"/>
    <w:pPr>
      <w:spacing w:before="100" w:beforeAutospacing="1" w:after="100" w:afterAutospacing="1" w:line="240" w:lineRule="auto"/>
      <w:jc w:val="both"/>
      <w:textAlignment w:val="center"/>
    </w:pPr>
    <w:rPr>
      <w:rFonts w:ascii="Arial" w:eastAsia="Times New Roman" w:hAnsi="Arial" w:cs="Arial"/>
      <w:sz w:val="24"/>
      <w:szCs w:val="24"/>
      <w:lang w:eastAsia="es-ES"/>
    </w:rPr>
  </w:style>
  <w:style w:type="paragraph" w:customStyle="1" w:styleId="xl92">
    <w:name w:val="xl92"/>
    <w:basedOn w:val="Normal"/>
    <w:rsid w:val="00124D8F"/>
    <w:pPr>
      <w:spacing w:before="100" w:beforeAutospacing="1" w:after="100" w:afterAutospacing="1" w:line="240" w:lineRule="auto"/>
      <w:jc w:val="both"/>
    </w:pPr>
    <w:rPr>
      <w:rFonts w:ascii="Arial" w:eastAsia="Times New Roman" w:hAnsi="Arial" w:cs="Arial"/>
      <w:color w:val="0070C0"/>
      <w:sz w:val="14"/>
      <w:szCs w:val="14"/>
      <w:lang w:eastAsia="es-ES"/>
    </w:rPr>
  </w:style>
  <w:style w:type="paragraph" w:customStyle="1" w:styleId="xl93">
    <w:name w:val="xl93"/>
    <w:basedOn w:val="Normal"/>
    <w:rsid w:val="00124D8F"/>
    <w:pPr>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94">
    <w:name w:val="xl94"/>
    <w:basedOn w:val="Normal"/>
    <w:rsid w:val="00124D8F"/>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95">
    <w:name w:val="xl95"/>
    <w:basedOn w:val="Normal"/>
    <w:rsid w:val="00124D8F"/>
    <w:pPr>
      <w:spacing w:before="100" w:beforeAutospacing="1" w:after="100" w:afterAutospacing="1" w:line="240" w:lineRule="auto"/>
      <w:jc w:val="both"/>
    </w:pPr>
    <w:rPr>
      <w:rFonts w:ascii="Arial" w:eastAsia="Times New Roman" w:hAnsi="Arial" w:cs="Arial"/>
      <w:sz w:val="20"/>
      <w:szCs w:val="20"/>
      <w:lang w:eastAsia="es-ES"/>
    </w:rPr>
  </w:style>
  <w:style w:type="paragraph" w:customStyle="1" w:styleId="xl96">
    <w:name w:val="xl96"/>
    <w:basedOn w:val="Normal"/>
    <w:rsid w:val="00124D8F"/>
    <w:pPr>
      <w:spacing w:before="100" w:beforeAutospacing="1" w:after="100" w:afterAutospacing="1" w:line="240" w:lineRule="auto"/>
      <w:jc w:val="both"/>
    </w:pPr>
    <w:rPr>
      <w:rFonts w:ascii="Arial" w:eastAsia="Times New Roman" w:hAnsi="Arial" w:cs="Arial"/>
      <w:b/>
      <w:bCs/>
      <w:sz w:val="14"/>
      <w:szCs w:val="14"/>
      <w:lang w:eastAsia="es-ES"/>
    </w:rPr>
  </w:style>
  <w:style w:type="paragraph" w:customStyle="1" w:styleId="xl97">
    <w:name w:val="xl97"/>
    <w:basedOn w:val="Normal"/>
    <w:rsid w:val="00124D8F"/>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xl98">
    <w:name w:val="xl98"/>
    <w:basedOn w:val="Normal"/>
    <w:rsid w:val="00124D8F"/>
    <w:pP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99">
    <w:name w:val="xl99"/>
    <w:basedOn w:val="Normal"/>
    <w:rsid w:val="00124D8F"/>
    <w:pPr>
      <w:spacing w:before="100" w:beforeAutospacing="1" w:after="100" w:afterAutospacing="1" w:line="240" w:lineRule="auto"/>
      <w:jc w:val="both"/>
      <w:textAlignment w:val="center"/>
    </w:pPr>
    <w:rPr>
      <w:rFonts w:ascii="Arial" w:eastAsia="Times New Roman" w:hAnsi="Arial" w:cs="Arial"/>
      <w:b/>
      <w:bCs/>
      <w:sz w:val="24"/>
      <w:szCs w:val="24"/>
      <w:lang w:eastAsia="es-ES"/>
    </w:rPr>
  </w:style>
  <w:style w:type="paragraph" w:customStyle="1" w:styleId="xl100">
    <w:name w:val="xl100"/>
    <w:basedOn w:val="Normal"/>
    <w:rsid w:val="00124D8F"/>
    <w:pPr>
      <w:spacing w:before="100" w:beforeAutospacing="1" w:after="100" w:afterAutospacing="1" w:line="240" w:lineRule="auto"/>
      <w:jc w:val="both"/>
    </w:pPr>
    <w:rPr>
      <w:rFonts w:ascii="Times New Roman" w:eastAsia="Times New Roman" w:hAnsi="Times New Roman" w:cs="Times New Roman"/>
      <w:sz w:val="24"/>
      <w:szCs w:val="24"/>
      <w:lang w:eastAsia="es-ES"/>
    </w:rPr>
  </w:style>
  <w:style w:type="paragraph" w:customStyle="1" w:styleId="xl101">
    <w:name w:val="xl101"/>
    <w:basedOn w:val="Normal"/>
    <w:rsid w:val="00124D8F"/>
    <w:pPr>
      <w:spacing w:before="100" w:beforeAutospacing="1" w:after="100" w:afterAutospacing="1" w:line="240" w:lineRule="auto"/>
      <w:jc w:val="center"/>
      <w:textAlignment w:val="center"/>
    </w:pPr>
    <w:rPr>
      <w:rFonts w:ascii="Arial" w:eastAsia="Times New Roman" w:hAnsi="Arial" w:cs="Arial"/>
      <w:b/>
      <w:bCs/>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1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1858</Words>
  <Characters>10221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García-Chicote Yuste Mª Isabel</dc:creator>
  <cp:keywords/>
  <dc:description/>
  <cp:lastModifiedBy>García-Chicote Yuste Mª Isabel</cp:lastModifiedBy>
  <cp:revision>1</cp:revision>
  <dcterms:created xsi:type="dcterms:W3CDTF">2020-05-19T10:01:00Z</dcterms:created>
  <dcterms:modified xsi:type="dcterms:W3CDTF">2020-05-19T10:04:00Z</dcterms:modified>
</cp:coreProperties>
</file>